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34" w:rsidRPr="00CC7534" w:rsidRDefault="00CC7534" w:rsidP="00CC7534">
      <w:pPr>
        <w:spacing w:before="100" w:beforeAutospacing="1" w:after="100" w:afterAutospacing="1" w:line="240" w:lineRule="auto"/>
        <w:ind w:left="0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</w:rPr>
      </w:pPr>
      <w:r w:rsidRPr="00CC7534"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 xml:space="preserve">A multi-center, double-blind, </w:t>
      </w:r>
      <w:proofErr w:type="spellStart"/>
      <w:r w:rsidRPr="00CC7534"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>randomised</w:t>
      </w:r>
      <w:proofErr w:type="spellEnd"/>
      <w:r w:rsidRPr="00CC7534"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 xml:space="preserve"> study of the Lavender oil preparation </w:t>
      </w:r>
      <w:proofErr w:type="spellStart"/>
      <w:r w:rsidRPr="00CC7534"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>Silexan</w:t>
      </w:r>
      <w:proofErr w:type="spellEnd"/>
      <w:r w:rsidRPr="00CC7534">
        <w:rPr>
          <w:rFonts w:ascii="Georgia" w:eastAsia="Times New Roman" w:hAnsi="Georgia" w:cs="Times New Roman"/>
          <w:b/>
          <w:bCs/>
          <w:kern w:val="36"/>
          <w:sz w:val="48"/>
          <w:szCs w:val="48"/>
        </w:rPr>
        <w:t xml:space="preserve"> in comparison to Lorazepam for generalized anxiety disorder</w:t>
      </w:r>
    </w:p>
    <w:p w:rsidR="00CC7534" w:rsidRPr="00CC7534" w:rsidRDefault="00CC7534" w:rsidP="00CC7534">
      <w:pPr>
        <w:spacing w:after="0" w:line="240" w:lineRule="auto"/>
        <w:ind w:left="0"/>
        <w:rPr>
          <w:rFonts w:ascii="Times New Roman" w:eastAsia="Times New Roman" w:hAnsi="Times New Roman" w:cs="Times New Roman"/>
          <w:color w:val="5B616B"/>
          <w:sz w:val="24"/>
          <w:szCs w:val="24"/>
        </w:rPr>
      </w:pPr>
      <w:hyperlink r:id="rId5" w:history="1">
        <w:r w:rsidRPr="00CC7534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</w:rPr>
          <w:t xml:space="preserve">H </w:t>
        </w:r>
        <w:proofErr w:type="spellStart"/>
        <w:r w:rsidRPr="00CC7534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</w:rPr>
          <w:t>Woelk</w:t>
        </w:r>
        <w:proofErr w:type="spellEnd"/>
      </w:hyperlink>
      <w:r w:rsidRPr="00CC7534">
        <w:rPr>
          <w:rFonts w:ascii="Times New Roman" w:eastAsia="Times New Roman" w:hAnsi="Times New Roman" w:cs="Times New Roman"/>
          <w:color w:val="5B616B"/>
          <w:sz w:val="18"/>
          <w:vertAlign w:val="superscript"/>
        </w:rPr>
        <w:t> </w:t>
      </w:r>
      <w:hyperlink r:id="rId6" w:anchor="affiliation-1" w:history="1">
        <w:r w:rsidRPr="00CC7534">
          <w:rPr>
            <w:rFonts w:ascii="Times New Roman" w:eastAsia="Times New Roman" w:hAnsi="Times New Roman" w:cs="Times New Roman"/>
            <w:color w:val="323A45"/>
            <w:sz w:val="18"/>
            <w:u w:val="single"/>
            <w:vertAlign w:val="superscript"/>
          </w:rPr>
          <w:t>1</w:t>
        </w:r>
      </w:hyperlink>
      <w:r w:rsidRPr="00CC7534">
        <w:rPr>
          <w:rFonts w:ascii="Times New Roman" w:eastAsia="Times New Roman" w:hAnsi="Times New Roman" w:cs="Times New Roman"/>
          <w:color w:val="5B616B"/>
          <w:sz w:val="24"/>
          <w:szCs w:val="24"/>
        </w:rPr>
        <w:t>, </w:t>
      </w:r>
      <w:hyperlink r:id="rId7" w:history="1">
        <w:r w:rsidRPr="00CC7534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</w:rPr>
          <w:t xml:space="preserve">S </w:t>
        </w:r>
        <w:proofErr w:type="spellStart"/>
        <w:r w:rsidRPr="00CC7534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</w:rPr>
          <w:t>Schläfke</w:t>
        </w:r>
        <w:proofErr w:type="spellEnd"/>
      </w:hyperlink>
    </w:p>
    <w:p w:rsidR="00CC7534" w:rsidRPr="00CC7534" w:rsidRDefault="00CC7534" w:rsidP="00CC7534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C7534">
        <w:rPr>
          <w:rFonts w:ascii="Times New Roman" w:eastAsia="Times New Roman" w:hAnsi="Times New Roman" w:cs="Times New Roman"/>
          <w:sz w:val="24"/>
          <w:szCs w:val="24"/>
        </w:rPr>
        <w:t>Affiliations expand</w:t>
      </w:r>
    </w:p>
    <w:p w:rsidR="00CC7534" w:rsidRPr="00CC7534" w:rsidRDefault="00CC7534" w:rsidP="00CC75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C7534">
        <w:rPr>
          <w:rFonts w:ascii="Times New Roman" w:eastAsia="Times New Roman" w:hAnsi="Times New Roman" w:cs="Times New Roman"/>
          <w:sz w:val="24"/>
          <w:szCs w:val="24"/>
        </w:rPr>
        <w:t>PMID: </w:t>
      </w:r>
      <w:r w:rsidRPr="00CC7534">
        <w:rPr>
          <w:rFonts w:ascii="Times New Roman" w:eastAsia="Times New Roman" w:hAnsi="Times New Roman" w:cs="Times New Roman"/>
          <w:color w:val="212121"/>
          <w:sz w:val="24"/>
          <w:szCs w:val="24"/>
        </w:rPr>
        <w:t>19962288</w:t>
      </w:r>
    </w:p>
    <w:p w:rsidR="00CC7534" w:rsidRPr="00CC7534" w:rsidRDefault="00CC7534" w:rsidP="00CC7534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C753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7534" w:rsidRPr="00CC7534" w:rsidRDefault="00CC7534" w:rsidP="00CC753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C7534">
        <w:rPr>
          <w:rFonts w:ascii="Times New Roman" w:eastAsia="Times New Roman" w:hAnsi="Times New Roman" w:cs="Times New Roman"/>
          <w:sz w:val="24"/>
          <w:szCs w:val="24"/>
        </w:rPr>
        <w:t>DOI: </w:t>
      </w:r>
      <w:hyperlink r:id="rId8" w:tgtFrame="_blank" w:history="1">
        <w:r w:rsidRPr="00CC7534">
          <w:rPr>
            <w:rFonts w:ascii="Times New Roman" w:eastAsia="Times New Roman" w:hAnsi="Times New Roman" w:cs="Times New Roman"/>
            <w:color w:val="0071BC"/>
            <w:sz w:val="24"/>
            <w:szCs w:val="24"/>
            <w:u w:val="single"/>
          </w:rPr>
          <w:t>10.1016/j.phymed.2009.10.006</w:t>
        </w:r>
      </w:hyperlink>
    </w:p>
    <w:p w:rsidR="00CC7534" w:rsidRPr="00CC7534" w:rsidRDefault="00CC7534" w:rsidP="00CC7534">
      <w:pPr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Georgia" w:eastAsia="Times New Roman" w:hAnsi="Georgia" w:cs="Segoe UI"/>
          <w:b/>
          <w:bCs/>
          <w:color w:val="212121"/>
          <w:sz w:val="36"/>
          <w:szCs w:val="36"/>
        </w:rPr>
      </w:pPr>
      <w:r w:rsidRPr="00CC7534">
        <w:rPr>
          <w:rFonts w:ascii="Georgia" w:eastAsia="Times New Roman" w:hAnsi="Georgia" w:cs="Segoe UI"/>
          <w:b/>
          <w:bCs/>
          <w:color w:val="212121"/>
          <w:sz w:val="36"/>
          <w:szCs w:val="36"/>
        </w:rPr>
        <w:t>Abstract</w:t>
      </w:r>
    </w:p>
    <w:p w:rsidR="00CC7534" w:rsidRPr="00CC7534" w:rsidRDefault="00CC7534" w:rsidP="00CC7534">
      <w:p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121"/>
          <w:sz w:val="24"/>
          <w:szCs w:val="24"/>
        </w:rPr>
      </w:pPr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Generalized and persistent anxiety, accompanied by nervousness and other symptoms (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Generalised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Anxiety Disorder, GAD) is frequent in the general population and leads to benzodiazepine usage. Unfortunately, these substances induce sedation and have a high potential for drug abuse, and there is thus a need for alternatives. As the anxiolytic properties of lavender have already been demonstrated in pharmacological studies and small-scale clinical trials, it was postulated that lavender has a positive effect in GAD. A controlled clinical study was then performed to evaluate the efficacy of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, a new oral lavender oil capsule preparation, versus a benzodiazepine. In this study, the efficacy of a 6-week-intake of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compared to lorazepam was investigated in adults with GAD. The primary target variable was the change in the Hamilton Anxiety Rating Scale (HAM-A-total score) as an objective measurement of the severity of anxiety between baseline and week 6. The results suggest that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effectively ameliorates generalized anxiety comparable to a common benzodiazepine (lorazepam). The mean of the HAM-A-total score decreased clearly and to a similar extent in both groups (by 11.3+/-6.7 points (45%) in the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group and by 11.6+/-6.6 points (46%) in the lorazepam group, from 25+/-4 points at baseline in both groups). During the active treatment period, the two HAM-A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subscores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"somatic anxiety" (HAM-A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subscore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I) and "psychic anxiety" (HAM-A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subscore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II) also decreased clearly and to a similar extent in both groups. The changes in other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subscores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measured during the study, such as the SAS (Self-rating Anxiety Scale), PSWQ-PW (Penn State Worry Questionnaire), SF 36 Health survey Questionnaire and Clinical Global Impressions of severity of disorder (CGI item 1, </w:t>
      </w:r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lastRenderedPageBreak/>
        <w:t xml:space="preserve">CGI item 2, CGI item 3), and the results of the sleep diary demonstrated comparable positive effects of the two compounds. In conclusion, our results demonstrate that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is as effective as lorazepam in adults with GAD. The safety of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was also demonstrated. Since lavender oil showed no sedative effects in our study and has no potential for drug abuse,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silexan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appears to be an effective and well tolerated alternative to benzodiazepines for amelioration of </w:t>
      </w:r>
      <w:proofErr w:type="spell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generalised</w:t>
      </w:r>
      <w:proofErr w:type="spell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anxiety.</w:t>
      </w:r>
    </w:p>
    <w:p w:rsidR="00CC7534" w:rsidRPr="00CC7534" w:rsidRDefault="00CC7534" w:rsidP="00CC7534">
      <w:p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12121"/>
          <w:sz w:val="24"/>
          <w:szCs w:val="24"/>
        </w:rPr>
      </w:pPr>
      <w:proofErr w:type="gramStart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>Copyright 2009 Elsevier GmbH.</w:t>
      </w:r>
      <w:proofErr w:type="gramEnd"/>
      <w:r w:rsidRPr="00CC7534">
        <w:rPr>
          <w:rFonts w:ascii="Segoe UI" w:eastAsia="Times New Roman" w:hAnsi="Segoe UI" w:cs="Segoe UI"/>
          <w:color w:val="212121"/>
          <w:sz w:val="24"/>
          <w:szCs w:val="24"/>
        </w:rPr>
        <w:t xml:space="preserve"> All rights reserved.</w:t>
      </w:r>
    </w:p>
    <w:p w:rsidR="007B0B20" w:rsidRDefault="007B0B20"/>
    <w:sectPr w:rsidR="007B0B20" w:rsidSect="007B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6B12"/>
    <w:multiLevelType w:val="multilevel"/>
    <w:tmpl w:val="C9F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C7534"/>
    <w:rsid w:val="007B0B20"/>
    <w:rsid w:val="00916053"/>
    <w:rsid w:val="00CC7534"/>
    <w:rsid w:val="00E01497"/>
    <w:rsid w:val="00E7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20"/>
  </w:style>
  <w:style w:type="paragraph" w:styleId="Heading1">
    <w:name w:val="heading 1"/>
    <w:basedOn w:val="Normal"/>
    <w:link w:val="Heading1Char"/>
    <w:uiPriority w:val="9"/>
    <w:qFormat/>
    <w:rsid w:val="00CC7534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C7534"/>
    <w:pPr>
      <w:spacing w:before="100" w:beforeAutospacing="1" w:after="100" w:afterAutospacing="1" w:line="240" w:lineRule="auto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5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75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uthors-list-item">
    <w:name w:val="authors-list-item"/>
    <w:basedOn w:val="DefaultParagraphFont"/>
    <w:rsid w:val="00CC7534"/>
  </w:style>
  <w:style w:type="character" w:styleId="Hyperlink">
    <w:name w:val="Hyperlink"/>
    <w:basedOn w:val="DefaultParagraphFont"/>
    <w:uiPriority w:val="99"/>
    <w:semiHidden/>
    <w:unhideWhenUsed/>
    <w:rsid w:val="00CC7534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CC7534"/>
  </w:style>
  <w:style w:type="character" w:customStyle="1" w:styleId="comma">
    <w:name w:val="comma"/>
    <w:basedOn w:val="DefaultParagraphFont"/>
    <w:rsid w:val="00CC7534"/>
  </w:style>
  <w:style w:type="character" w:customStyle="1" w:styleId="identifier">
    <w:name w:val="identifier"/>
    <w:basedOn w:val="DefaultParagraphFont"/>
    <w:rsid w:val="00CC7534"/>
  </w:style>
  <w:style w:type="character" w:customStyle="1" w:styleId="id-label">
    <w:name w:val="id-label"/>
    <w:basedOn w:val="DefaultParagraphFont"/>
    <w:rsid w:val="00CC7534"/>
  </w:style>
  <w:style w:type="character" w:styleId="Strong">
    <w:name w:val="Strong"/>
    <w:basedOn w:val="DefaultParagraphFont"/>
    <w:uiPriority w:val="22"/>
    <w:qFormat/>
    <w:rsid w:val="00CC75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753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CC753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hymed.2009.10.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Schl%C3%A4fke+S&amp;cauthor_id=19962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19962288/" TargetMode="External"/><Relationship Id="rId5" Type="http://schemas.openxmlformats.org/officeDocument/2006/relationships/hyperlink" Target="https://pubmed.ncbi.nlm.nih.gov/?term=Woelk+H&amp;cauthor_id=199622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 multi-center, double-blind, randomised study of the Lavender oil preparation S</vt:lpstr>
      <vt:lpstr>    Abstract</vt:lpstr>
    </vt:vector>
  </TitlesOfParts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2021-03-20T19:34:00Z</dcterms:created>
  <dcterms:modified xsi:type="dcterms:W3CDTF">2021-03-21T21:17:00Z</dcterms:modified>
</cp:coreProperties>
</file>